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05" w:rsidRDefault="00DF4505" w:rsidP="00DF4505">
      <w:pPr>
        <w:ind w:left="5664" w:firstLine="708"/>
        <w:rPr>
          <w:b w:val="0"/>
        </w:rPr>
      </w:pPr>
      <w:r>
        <w:rPr>
          <w:b w:val="0"/>
        </w:rPr>
        <w:t xml:space="preserve">Grójec, dn. </w:t>
      </w:r>
      <w:r w:rsidR="00890734">
        <w:rPr>
          <w:b w:val="0"/>
        </w:rPr>
        <w:t>26</w:t>
      </w:r>
      <w:r>
        <w:rPr>
          <w:b w:val="0"/>
        </w:rPr>
        <w:t>.01.2016 r</w:t>
      </w:r>
    </w:p>
    <w:p w:rsidR="00DF4505" w:rsidRDefault="00DF4505" w:rsidP="00DF4505">
      <w:pPr>
        <w:rPr>
          <w:b w:val="0"/>
        </w:rPr>
      </w:pPr>
      <w:r>
        <w:rPr>
          <w:b w:val="0"/>
        </w:rPr>
        <w:t>WI.271.01.2016.GM-4</w:t>
      </w:r>
    </w:p>
    <w:p w:rsidR="00DF4505" w:rsidRDefault="00DF4505" w:rsidP="00DF4505">
      <w:pPr>
        <w:rPr>
          <w:b w:val="0"/>
        </w:rPr>
      </w:pPr>
    </w:p>
    <w:p w:rsidR="00DF4505" w:rsidRDefault="00DF4505" w:rsidP="00DF4505">
      <w:pPr>
        <w:rPr>
          <w:b w:val="0"/>
        </w:rPr>
      </w:pPr>
    </w:p>
    <w:p w:rsidR="00DF4505" w:rsidRDefault="00DF4505" w:rsidP="00DF4505">
      <w:pPr>
        <w:jc w:val="center"/>
        <w:rPr>
          <w:b w:val="0"/>
        </w:rPr>
      </w:pPr>
      <w:r>
        <w:rPr>
          <w:b w:val="0"/>
        </w:rPr>
        <w:t xml:space="preserve">Zgodnie z art.38 pkt. 1,2 Ustawy Prawo zamówień publicznych Urząd Gminy i Miasta w Grójcu przedstawia wyjaśnienia na pytania  oferentów dotyczące specyfikacji istotnych warunków zamówienia na realizację zadania: </w:t>
      </w:r>
    </w:p>
    <w:p w:rsidR="00DF4505" w:rsidRDefault="00DF4505" w:rsidP="00DF4505">
      <w:pPr>
        <w:jc w:val="center"/>
        <w:rPr>
          <w:sz w:val="28"/>
        </w:rPr>
      </w:pPr>
      <w:r>
        <w:rPr>
          <w:bCs/>
          <w:color w:val="000000"/>
          <w:spacing w:val="-5"/>
          <w:sz w:val="22"/>
          <w:szCs w:val="22"/>
        </w:rPr>
        <w:t>„Przebudowa krytego basenu w Grójcu”</w:t>
      </w:r>
    </w:p>
    <w:p w:rsidR="00DF4505" w:rsidRDefault="00DF4505" w:rsidP="00DF4505">
      <w:pPr>
        <w:jc w:val="center"/>
        <w:rPr>
          <w:b w:val="0"/>
        </w:rPr>
      </w:pPr>
    </w:p>
    <w:p w:rsidR="00DF4505" w:rsidRDefault="00DF4505" w:rsidP="00DF4505">
      <w:pPr>
        <w:spacing w:line="360" w:lineRule="auto"/>
        <w:jc w:val="center"/>
        <w:rPr>
          <w:b w:val="0"/>
        </w:rPr>
      </w:pPr>
      <w:r>
        <w:rPr>
          <w:b w:val="0"/>
        </w:rPr>
        <w:t xml:space="preserve">PYTANIA </w:t>
      </w:r>
      <w:r w:rsidR="00194198">
        <w:rPr>
          <w:b w:val="0"/>
        </w:rPr>
        <w:t xml:space="preserve"> cz.2</w:t>
      </w:r>
    </w:p>
    <w:p w:rsidR="00470595" w:rsidRDefault="00470595" w:rsidP="00DF4505">
      <w:pPr>
        <w:spacing w:line="360" w:lineRule="auto"/>
        <w:jc w:val="center"/>
        <w:rPr>
          <w:b w:val="0"/>
        </w:rPr>
      </w:pPr>
    </w:p>
    <w:p w:rsidR="00470595" w:rsidRDefault="00470595" w:rsidP="00DF4505">
      <w:pPr>
        <w:spacing w:line="360" w:lineRule="auto"/>
        <w:jc w:val="center"/>
        <w:rPr>
          <w:b w:val="0"/>
        </w:rPr>
      </w:pPr>
    </w:p>
    <w:p w:rsidR="00470595" w:rsidRPr="00BB235B" w:rsidRDefault="00470595" w:rsidP="00470595">
      <w:pPr>
        <w:numPr>
          <w:ilvl w:val="0"/>
          <w:numId w:val="1"/>
        </w:numPr>
        <w:jc w:val="both"/>
        <w:rPr>
          <w:b w:val="0"/>
        </w:rPr>
      </w:pPr>
      <w:r w:rsidRPr="00BB235B">
        <w:rPr>
          <w:b w:val="0"/>
        </w:rPr>
        <w:t xml:space="preserve">Proszę o podanie parametrów technicznych zbiornika ścieków z wód </w:t>
      </w:r>
      <w:proofErr w:type="spellStart"/>
      <w:r w:rsidRPr="00BB235B">
        <w:rPr>
          <w:b w:val="0"/>
        </w:rPr>
        <w:t>popłucznych</w:t>
      </w:r>
      <w:proofErr w:type="spellEnd"/>
      <w:r w:rsidRPr="00BB235B">
        <w:rPr>
          <w:b w:val="0"/>
        </w:rPr>
        <w:t xml:space="preserve"> takich jak:</w:t>
      </w:r>
    </w:p>
    <w:p w:rsidR="00470595" w:rsidRPr="00BB235B" w:rsidRDefault="00470595" w:rsidP="00470595">
      <w:pPr>
        <w:ind w:left="502"/>
        <w:jc w:val="both"/>
        <w:rPr>
          <w:b w:val="0"/>
        </w:rPr>
      </w:pPr>
      <w:r w:rsidRPr="00BB235B">
        <w:rPr>
          <w:b w:val="0"/>
        </w:rPr>
        <w:t>- grubość materiału z którego wykonany ma być zbiornik</w:t>
      </w:r>
    </w:p>
    <w:p w:rsidR="00470595" w:rsidRPr="00BB235B" w:rsidRDefault="00470595" w:rsidP="00470595">
      <w:pPr>
        <w:ind w:left="502"/>
        <w:jc w:val="both"/>
        <w:rPr>
          <w:b w:val="0"/>
        </w:rPr>
      </w:pPr>
      <w:r w:rsidRPr="00BB235B">
        <w:rPr>
          <w:b w:val="0"/>
        </w:rPr>
        <w:t>- schemat wzmocnień/użebrowania zbiornika; wewnętrznie oraz zewnętrznie</w:t>
      </w:r>
    </w:p>
    <w:p w:rsidR="00470595" w:rsidRPr="00BB235B" w:rsidRDefault="00470595" w:rsidP="00470595">
      <w:pPr>
        <w:ind w:left="502"/>
        <w:jc w:val="both"/>
        <w:rPr>
          <w:b w:val="0"/>
        </w:rPr>
      </w:pPr>
      <w:r w:rsidRPr="00BB235B">
        <w:rPr>
          <w:b w:val="0"/>
        </w:rPr>
        <w:t>- zbiornik zamknięty (6 ścian) czy otwarty (5 ścian, na zasadzie wanny)</w:t>
      </w:r>
    </w:p>
    <w:p w:rsidR="00470595" w:rsidRPr="00BB235B" w:rsidRDefault="00470595" w:rsidP="00470595">
      <w:pPr>
        <w:ind w:left="502"/>
        <w:jc w:val="both"/>
        <w:rPr>
          <w:b w:val="0"/>
        </w:rPr>
      </w:pPr>
      <w:r w:rsidRPr="00BB235B">
        <w:rPr>
          <w:b w:val="0"/>
        </w:rPr>
        <w:t xml:space="preserve">- </w:t>
      </w:r>
      <w:proofErr w:type="spellStart"/>
      <w:r w:rsidRPr="00BB235B">
        <w:rPr>
          <w:b w:val="0"/>
        </w:rPr>
        <w:t>ew</w:t>
      </w:r>
      <w:proofErr w:type="spellEnd"/>
      <w:r w:rsidRPr="00BB235B">
        <w:rPr>
          <w:b w:val="0"/>
        </w:rPr>
        <w:t xml:space="preserve"> przegrody wewnątrz zbiornika w celu uniknięcia uderzeń hydraulicznych na jego ścianki</w:t>
      </w:r>
    </w:p>
    <w:p w:rsidR="00470595" w:rsidRPr="00BB235B" w:rsidRDefault="00470595" w:rsidP="00470595">
      <w:pPr>
        <w:ind w:left="502"/>
        <w:jc w:val="both"/>
        <w:rPr>
          <w:b w:val="0"/>
        </w:rPr>
      </w:pPr>
      <w:r w:rsidRPr="00BB235B">
        <w:rPr>
          <w:b w:val="0"/>
        </w:rPr>
        <w:t>- możliwość wykonania zbiornika z prefabrykatów na miejscu zlecenia (problematyczny transport zbiornika 4x5m).</w:t>
      </w:r>
    </w:p>
    <w:p w:rsidR="00470595" w:rsidRPr="00BB235B" w:rsidRDefault="00470595" w:rsidP="0047059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235B">
        <w:rPr>
          <w:rFonts w:ascii="Times New Roman" w:eastAsia="Times New Roman" w:hAnsi="Times New Roman"/>
          <w:sz w:val="24"/>
          <w:szCs w:val="24"/>
          <w:lang w:eastAsia="pl-PL"/>
        </w:rPr>
        <w:t>Proszę o uzupełnieni istniejącej dokumentacji o stan dotychczasowy dla instalacji wod.-kan., c.o., c.t., węzła cieplnego, wentylacji i instalacji chłodniczych z zaznaczonymi materiałami do demontażu. Z obecnej dokumentacji jest to niemożliwe.</w:t>
      </w:r>
    </w:p>
    <w:p w:rsidR="00470595" w:rsidRPr="00BB235B" w:rsidRDefault="00470595" w:rsidP="00470595">
      <w:pPr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BB235B">
        <w:rPr>
          <w:b w:val="0"/>
        </w:rPr>
        <w:t>Proszę o przesłanie specyfikacji materiałowej instalacji wentylacji mechanicznej</w:t>
      </w:r>
    </w:p>
    <w:p w:rsidR="00194198" w:rsidRPr="00BB235B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 w:rsidRPr="00BB235B">
        <w:t>Zamieszczenie na stronie Zamawiającego „tabeli wykończenia wnętrz” zgodnie z opisem technicznym pkt.5.2. p. pkt. 5.2.1. Okładziny ścian.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W dniu 15.01.2016 r na stronie Zamawiającego zamieszczono aktualizację przedmiarów, przedmiary uzupełnione zostały o zestawienie robocizny, materiału i sprzętu. W związku z powyższym wnosimy o zajęcie stanowiska co do zasadności i czy oferta wina wykazać pełną zgodność w zakresie nazw materiałów, sprzętu jak i pełnej zgodności nakładów.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Wprowadzenia korekty przewidzianych materiałów do realizacji przedmiotu zamówienia – przedmiar poz. Nr 7 etap II. Zestawienie materiałowe uzupełnione w dniu 15.01.2016 r na stronie Zamawiającego do wykonania warstwy gruntującej przed położeniem tynków cienkowarstwowych przyjęto wodę zamiast preparatu gruntującego GRUNT ARMASIL GT lub równoważny z godnie z opisem technicznym.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 xml:space="preserve">Wnosimy o uszczegółowienie przedmiarów ( wyliczenia składowe ) wraz z opisem w odniesieniu do </w:t>
      </w:r>
      <w:proofErr w:type="spellStart"/>
      <w:r>
        <w:t>STWiOR</w:t>
      </w:r>
      <w:proofErr w:type="spellEnd"/>
      <w:r>
        <w:t xml:space="preserve"> i projektu technicznego w części graficznej i opisowej.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Brak w przedmiarze wydzielenia oddzielnej pozycji w zakresie wyodrębnienia elewacji od strony północnej i wschodniej szczególnie narażoną na zwiększoną wilgotność zgodnie z opisem technicznym pkt. 5.1.2 Termomodernizacja budynku. Projektowana niezależna technologia inna od pozostałej części budynku.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Opis techniczny wykończenia istniejącego ścian dotyczy usunięcia lamperii . Wnosimy o uzupełnienie przedmiaru prac w tym zakresie wraz z właściwym przygotowaniem podłoża pod nowo projektowane wykończenie.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 xml:space="preserve">Wnosimy o uzupełnienie pozycji przedmiarowych w odniesieniu do posadzek w zależności od rodzaju wykończenia i lokalizacji pomieszczeń objętych zakresem opracowania np. podział strefa hali basenowej, mokra i sucha. Brak przyjętej technologii w odniesieniu do naprawy podłoży po </w:t>
      </w:r>
      <w:r>
        <w:lastRenderedPageBreak/>
        <w:t>skuciu istniejących okładzin ceramicznych ( z wyłączeniem niecki basenowej ), np. frezowanie, wykonanie warstwy łączącej stare z nowym.</w:t>
      </w:r>
    </w:p>
    <w:p w:rsidR="00194198" w:rsidRPr="00BB235B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 w:rsidRPr="00BB235B">
        <w:t xml:space="preserve">Brak opisu w odniesieniu do projektowanej </w:t>
      </w:r>
      <w:proofErr w:type="spellStart"/>
      <w:r w:rsidRPr="00BB235B">
        <w:t>hydroizolacji</w:t>
      </w:r>
      <w:proofErr w:type="spellEnd"/>
      <w:r w:rsidRPr="00BB235B">
        <w:t>, spoinowania w zależności od rodzaju wykończenia i lokalizacji pomieszczeń objętych zakresem opracowania np. podział strefa hali basenowej, mokra i sucha ( z wyłączeniem niecki basenowej )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Wnosimy o uzupełnienie przedmiaru, nakładów w zakresie wykończenia ścian płytą HPL w rejonie suszarek.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Wnosimy o uzupełnienie przedmiaru nakładów w zakresie elementów wyposażenia, szafki ubraniowe z laminatu HPL.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Wnosimy o uzupełnienie przedmiaru nakładów w zakresie dostawy i montażu kabin przebieralni i toalet.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Wnosimy o uzupełnienie przedmiaru nakładów w zakresie przegrody panelowej z płyt pleksiglas ( PLEXI )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 xml:space="preserve">Wnosimy o uzupełnienie przedmiaru nakładów w zakresie maty </w:t>
      </w:r>
      <w:proofErr w:type="spellStart"/>
      <w:r>
        <w:t>wycieraczkowej</w:t>
      </w:r>
      <w:proofErr w:type="spellEnd"/>
      <w:r>
        <w:t>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 xml:space="preserve">Pozycje przedmiarowe nr 72, 73, 74, 75 i 76  etap I przedmiotu zamówienia w zakresie rozkucia rys, zasklepienia rys, </w:t>
      </w:r>
      <w:proofErr w:type="spellStart"/>
      <w:r>
        <w:t>reprofilacji</w:t>
      </w:r>
      <w:proofErr w:type="spellEnd"/>
      <w:r>
        <w:t xml:space="preserve"> ubytków opisane zostały „ ilość szacunkowa – rozliczyć powykonawczo”. Jak powyższy zapis interpretować w przypadku gdy SIWZ jak i projekt umowy stanowi o rozliczeniu ryczałtowym. Prace konieczne do realizacji przedmiotu zamówienia ich zakres ilościowy jak i technologia napraw uzależniona jest od prac rozbiórkowych i ich uwidocznienia. Z tego też powodu rozliczenie w formie kosztorysów powykonawczych   jest zasadne. Na tej podstawie wnosimy o zmianę sposobu rozliczenia przedmiotu umowy z ryczałtowej na powykonawczą.</w:t>
      </w:r>
    </w:p>
    <w:p w:rsidR="00194198" w:rsidRDefault="00194198" w:rsidP="00194198">
      <w:pPr>
        <w:pStyle w:val="Akapitzlist"/>
        <w:numPr>
          <w:ilvl w:val="0"/>
          <w:numId w:val="1"/>
        </w:numPr>
        <w:contextualSpacing/>
        <w:jc w:val="both"/>
      </w:pPr>
      <w:r>
        <w:t>Z uwagi na konieczność uzupełnienia dokumentacji przetargowej wnosimy ponownie o zmianę termonu składania ofert.</w:t>
      </w:r>
    </w:p>
    <w:p w:rsidR="003B12CF" w:rsidRPr="00BB235B" w:rsidRDefault="003B12CF" w:rsidP="003B12CF">
      <w:pPr>
        <w:pStyle w:val="Akapitzlist"/>
        <w:numPr>
          <w:ilvl w:val="0"/>
          <w:numId w:val="1"/>
        </w:numPr>
        <w:spacing w:after="240"/>
      </w:pPr>
      <w:r w:rsidRPr="00BB235B">
        <w:t>w opisie przewiduje się wymianę istniejącego węzła cieplnego. Nie ma żadnych wzmianek w przedmiarze o węźle cieplnym. Czy węzeł cieplny znajduje się w zakresie opracowania tego przetargu?</w:t>
      </w:r>
      <w:r w:rsidRPr="00BB235B">
        <w:tab/>
      </w:r>
      <w:r w:rsidRPr="00BB235B">
        <w:tab/>
      </w:r>
      <w:r w:rsidRPr="00BB235B">
        <w:tab/>
      </w:r>
      <w:r w:rsidRPr="00BB235B">
        <w:tab/>
      </w:r>
      <w:r w:rsidRPr="00BB235B">
        <w:tab/>
      </w:r>
      <w:r w:rsidRPr="00BB235B">
        <w:tab/>
      </w:r>
      <w:r w:rsidRPr="00BB235B">
        <w:tab/>
      </w:r>
      <w:r w:rsidRPr="00BB235B">
        <w:tab/>
      </w:r>
      <w:r w:rsidRPr="00BB235B">
        <w:tab/>
      </w:r>
      <w:r w:rsidRPr="00BB235B">
        <w:tab/>
      </w:r>
    </w:p>
    <w:p w:rsidR="001A4FCD" w:rsidRPr="00BB235B" w:rsidRDefault="003B12CF" w:rsidP="003B12CF">
      <w:pPr>
        <w:pStyle w:val="Akapitzlist"/>
        <w:numPr>
          <w:ilvl w:val="0"/>
          <w:numId w:val="1"/>
        </w:numPr>
        <w:spacing w:after="240"/>
      </w:pPr>
      <w:r w:rsidRPr="00BB235B">
        <w:t xml:space="preserve">w opisie instalacji podgrzewu wody basenowej znajdują się dobory wymienników na basen pływacki (wymiennik basenowy typ B 1000 - 1 </w:t>
      </w:r>
      <w:proofErr w:type="spellStart"/>
      <w:r w:rsidRPr="00BB235B">
        <w:t>szt</w:t>
      </w:r>
      <w:proofErr w:type="spellEnd"/>
      <w:r w:rsidRPr="00BB235B">
        <w:t xml:space="preserve">), na basen rekreacyjny (wymiennik basenowy typ B 500 - 1 </w:t>
      </w:r>
      <w:proofErr w:type="spellStart"/>
      <w:r w:rsidRPr="00BB235B">
        <w:t>szt</w:t>
      </w:r>
      <w:proofErr w:type="spellEnd"/>
      <w:r w:rsidRPr="00BB235B">
        <w:t xml:space="preserve">) i na wannę </w:t>
      </w:r>
      <w:proofErr w:type="spellStart"/>
      <w:r w:rsidRPr="00BB235B">
        <w:t>jaccuzi</w:t>
      </w:r>
      <w:proofErr w:type="spellEnd"/>
      <w:r w:rsidRPr="00BB235B">
        <w:t xml:space="preserve"> (wymiennik basenowy typ B 500 - 1 </w:t>
      </w:r>
      <w:proofErr w:type="spellStart"/>
      <w:r w:rsidRPr="00BB235B">
        <w:t>szt</w:t>
      </w:r>
      <w:proofErr w:type="spellEnd"/>
      <w:r w:rsidRPr="00BB235B">
        <w:t xml:space="preserve">). W przedmiarze brak wzmianki o tych wymiennikach. Wymiennik basenowy typ B 1000 (1 </w:t>
      </w:r>
      <w:proofErr w:type="spellStart"/>
      <w:r w:rsidRPr="00BB235B">
        <w:t>szt</w:t>
      </w:r>
      <w:proofErr w:type="spellEnd"/>
      <w:r w:rsidRPr="00BB235B">
        <w:t xml:space="preserve">) i wymiennik basenowy typ B 500 (1 </w:t>
      </w:r>
      <w:proofErr w:type="spellStart"/>
      <w:r w:rsidRPr="00BB235B">
        <w:t>szt</w:t>
      </w:r>
      <w:proofErr w:type="spellEnd"/>
      <w:r w:rsidRPr="00BB235B">
        <w:t>) występują w technologii wody basenowej. Czy te wymienniki należy ująć w technologii wody basenowej, czy należy ująć je również i w instalacji podgrzewu wody basenowej?</w:t>
      </w:r>
    </w:p>
    <w:p w:rsidR="001A4FCD" w:rsidRPr="00BB235B" w:rsidRDefault="001A4FCD" w:rsidP="001A4FCD">
      <w:pPr>
        <w:pStyle w:val="Akapitzlist"/>
        <w:numPr>
          <w:ilvl w:val="0"/>
          <w:numId w:val="1"/>
        </w:numPr>
        <w:spacing w:after="160" w:line="259" w:lineRule="auto"/>
        <w:contextualSpacing/>
      </w:pPr>
      <w:r w:rsidRPr="00BB235B">
        <w:t>W punktach 5.2.1. oraz 5.2.2. opisu technicznego dotyczącego posadzek/ okładzin ściennych wskazano, że wykończenie posadzek/ okładzin ściennych należy wykonać zgodnie z tabelą „wykończenie wnętrz”. Prosimy zatem o uzupełnienie dokumentacji projektowej  o tabelę „wykończenie wnętrz”, gdyż nie ma jej w  załączonej na stronie internetowej dokumentacji.</w:t>
      </w:r>
    </w:p>
    <w:p w:rsidR="001A4FCD" w:rsidRPr="00BB235B" w:rsidRDefault="001A4FCD" w:rsidP="001A4FCD">
      <w:pPr>
        <w:pStyle w:val="Akapitzlist"/>
        <w:numPr>
          <w:ilvl w:val="0"/>
          <w:numId w:val="1"/>
        </w:numPr>
        <w:spacing w:after="160" w:line="259" w:lineRule="auto"/>
        <w:contextualSpacing/>
      </w:pPr>
      <w:r w:rsidRPr="00BB235B">
        <w:t xml:space="preserve"> Na stronie 9-tej w punkcie 4 dot. rozbiórek napisano: ”W projektowanych pomieszczeniach oznaczonych numerami od 0/1 do 0/16 należy usunąć stare powłoki malarskie, płytki ceramiczne ze ścian oraz podłóg (…)”, natomiast z przedmiaru robót wynika, że owym zakresem robót objęte są pomieszczenia 0/1 do 0/24 oraz niecka i plaża basenowa. Jaki jest rzeczywisty zakres prac – czy do oferty wliczać pomieszczenia 0/1 do 0/24 nieckę i plażę basenową?</w:t>
      </w:r>
    </w:p>
    <w:p w:rsidR="001A4FCD" w:rsidRDefault="001A4FCD" w:rsidP="001A4FCD">
      <w:pPr>
        <w:pStyle w:val="Akapitzlist"/>
        <w:numPr>
          <w:ilvl w:val="0"/>
          <w:numId w:val="1"/>
        </w:numPr>
        <w:spacing w:after="160" w:line="259" w:lineRule="auto"/>
        <w:contextualSpacing/>
      </w:pPr>
      <w:r>
        <w:t>Czy zadanie obejmuje również dostawę i montaż dużej zjeżdżalni basenowej?</w:t>
      </w:r>
    </w:p>
    <w:p w:rsidR="003B12CF" w:rsidRDefault="003B12CF" w:rsidP="001A4FCD">
      <w:pPr>
        <w:pStyle w:val="Akapitzlist"/>
        <w:spacing w:after="240"/>
        <w:ind w:left="360"/>
      </w:pPr>
      <w:r>
        <w:br/>
      </w:r>
    </w:p>
    <w:p w:rsidR="00625C47" w:rsidRDefault="00625C47" w:rsidP="001A4FCD">
      <w:pPr>
        <w:pStyle w:val="Akapitzlist"/>
        <w:spacing w:after="240"/>
        <w:ind w:left="360"/>
      </w:pPr>
    </w:p>
    <w:p w:rsidR="003B12CF" w:rsidRDefault="007E6B08" w:rsidP="007E6B08">
      <w:pPr>
        <w:contextualSpacing/>
        <w:jc w:val="center"/>
      </w:pPr>
      <w:r>
        <w:lastRenderedPageBreak/>
        <w:t>ODPOWIEDZI</w:t>
      </w:r>
    </w:p>
    <w:p w:rsidR="00625C47" w:rsidRDefault="00625C47" w:rsidP="007E6B08">
      <w:pPr>
        <w:contextualSpacing/>
        <w:jc w:val="center"/>
      </w:pPr>
    </w:p>
    <w:p w:rsidR="00625C47" w:rsidRDefault="00625C47" w:rsidP="00625C47">
      <w:pPr>
        <w:contextualSpacing/>
      </w:pPr>
      <w:r>
        <w:t xml:space="preserve">Ad. 1 </w:t>
      </w:r>
    </w:p>
    <w:p w:rsidR="007E6B08" w:rsidRDefault="007E6B08" w:rsidP="007E6B08">
      <w:pPr>
        <w:contextualSpacing/>
        <w:jc w:val="center"/>
      </w:pPr>
    </w:p>
    <w:p w:rsidR="00625C47" w:rsidRPr="00CA10C1" w:rsidRDefault="00625C47" w:rsidP="00625C47">
      <w:pPr>
        <w:spacing w:after="200" w:line="276" w:lineRule="auto"/>
        <w:jc w:val="center"/>
        <w:rPr>
          <w:rFonts w:ascii="Calibri" w:eastAsia="Calibri" w:hAnsi="Calibri"/>
          <w:b w:val="0"/>
          <w:noProof/>
          <w:sz w:val="28"/>
        </w:rPr>
      </w:pPr>
      <w:r w:rsidRPr="00CA10C1">
        <w:rPr>
          <w:rFonts w:ascii="Calibri" w:eastAsia="Calibri" w:hAnsi="Calibri"/>
          <w:b w:val="0"/>
          <w:noProof/>
          <w:sz w:val="28"/>
        </w:rPr>
        <w:t xml:space="preserve">KARTA CHARAKTERYSTKI ZBIORNIKA </w:t>
      </w:r>
      <w:r>
        <w:rPr>
          <w:rFonts w:ascii="Calibri" w:eastAsia="Calibri" w:hAnsi="Calibri"/>
          <w:b w:val="0"/>
          <w:noProof/>
          <w:sz w:val="28"/>
        </w:rPr>
        <w:t>WYRÓWNAWCZEGO</w:t>
      </w:r>
    </w:p>
    <w:p w:rsidR="00625C47" w:rsidRPr="00CA10C1" w:rsidRDefault="00625C47" w:rsidP="00625C47">
      <w:pPr>
        <w:spacing w:after="200" w:line="276" w:lineRule="auto"/>
        <w:jc w:val="center"/>
        <w:rPr>
          <w:rFonts w:ascii="Calibri" w:eastAsia="Calibri" w:hAnsi="Calibri"/>
          <w:b w:val="0"/>
          <w:noProof/>
          <w:sz w:val="28"/>
        </w:rPr>
      </w:pPr>
      <w:r>
        <w:rPr>
          <w:rFonts w:ascii="Calibri" w:eastAsia="Calibri" w:hAnsi="Calibri"/>
          <w:b w:val="0"/>
          <w:noProof/>
          <w:sz w:val="28"/>
        </w:rPr>
        <w:drawing>
          <wp:inline distT="0" distB="0" distL="0" distR="0" wp14:anchorId="4CF25E50" wp14:editId="09190FF0">
            <wp:extent cx="4312920" cy="3988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34" cy="398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47" w:rsidRPr="00CA10C1" w:rsidRDefault="00625C47" w:rsidP="00625C47">
      <w:pPr>
        <w:spacing w:after="200" w:line="276" w:lineRule="auto"/>
        <w:jc w:val="right"/>
        <w:rPr>
          <w:rFonts w:ascii="Calibri" w:eastAsia="Calibri" w:hAnsi="Calibri"/>
          <w:b w:val="0"/>
          <w:noProof/>
          <w:sz w:val="28"/>
        </w:rPr>
      </w:pPr>
    </w:p>
    <w:tbl>
      <w:tblPr>
        <w:tblpPr w:leftFromText="141" w:rightFromText="141" w:vertAnchor="text" w:horzAnchor="margin" w:tblpY="-65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45"/>
        <w:gridCol w:w="2055"/>
        <w:gridCol w:w="1244"/>
        <w:gridCol w:w="3686"/>
        <w:gridCol w:w="1275"/>
      </w:tblGrid>
      <w:tr w:rsidR="00625C47" w:rsidRPr="00CA10C1" w:rsidTr="00F959DE">
        <w:trPr>
          <w:trHeight w:val="313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C47" w:rsidRPr="00CA10C1" w:rsidRDefault="00625C47" w:rsidP="00F959DE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</w:rPr>
            </w:pPr>
            <w:proofErr w:type="spellStart"/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Lp</w:t>
            </w:r>
            <w:proofErr w:type="spellEnd"/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C47" w:rsidRPr="00CA10C1" w:rsidRDefault="00625C47" w:rsidP="00F959DE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</w:rPr>
            </w:pPr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Zbiornik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C47" w:rsidRPr="00CA10C1" w:rsidRDefault="00625C47" w:rsidP="00F959DE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</w:rPr>
            </w:pPr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 xml:space="preserve">Wymiary; m  </w:t>
            </w:r>
            <w:proofErr w:type="spellStart"/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szer</w:t>
            </w:r>
            <w:proofErr w:type="spellEnd"/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 xml:space="preserve"> x </w:t>
            </w:r>
            <w:proofErr w:type="spellStart"/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gł</w:t>
            </w:r>
            <w:proofErr w:type="spellEnd"/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 xml:space="preserve"> x </w:t>
            </w:r>
            <w:proofErr w:type="spellStart"/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wys</w:t>
            </w:r>
            <w:proofErr w:type="spellEnd"/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C47" w:rsidRPr="00CA10C1" w:rsidRDefault="00625C47" w:rsidP="00F959DE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</w:rPr>
            </w:pPr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Pojemność</w:t>
            </w:r>
          </w:p>
          <w:p w:rsidR="00625C47" w:rsidRPr="00CA10C1" w:rsidRDefault="00625C47" w:rsidP="00F959DE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</w:rPr>
            </w:pPr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czynna m</w:t>
            </w:r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C47" w:rsidRPr="00CA10C1" w:rsidRDefault="00625C47" w:rsidP="00F959DE">
            <w:pPr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</w:rPr>
            </w:pPr>
            <w:r w:rsidRPr="00CA10C1">
              <w:rPr>
                <w:rFonts w:ascii="Calibri" w:hAnsi="Calibri"/>
                <w:bCs/>
                <w:i/>
                <w:iCs/>
                <w:color w:val="000000"/>
                <w:szCs w:val="24"/>
              </w:rPr>
              <w:t>Króćce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25C47" w:rsidRPr="00CA10C1" w:rsidRDefault="00625C47" w:rsidP="00F959DE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CA10C1">
              <w:rPr>
                <w:rFonts w:ascii="Calibri" w:hAnsi="Calibri"/>
                <w:i/>
                <w:color w:val="000000"/>
                <w:sz w:val="22"/>
                <w:szCs w:val="22"/>
              </w:rPr>
              <w:t>Materiał</w:t>
            </w:r>
          </w:p>
        </w:tc>
      </w:tr>
    </w:tbl>
    <w:p w:rsidR="00625C47" w:rsidRPr="00CA10C1" w:rsidRDefault="00625C47" w:rsidP="00625C47">
      <w:pPr>
        <w:spacing w:after="200" w:line="276" w:lineRule="auto"/>
        <w:jc w:val="both"/>
        <w:rPr>
          <w:rFonts w:ascii="Calibri" w:eastAsia="Calibri" w:hAnsi="Calibri"/>
          <w:b w:val="0"/>
          <w:noProof/>
          <w:color w:val="44546A" w:themeColor="text2"/>
          <w:szCs w:val="24"/>
        </w:rPr>
      </w:pPr>
      <w:r w:rsidRPr="00CA10C1">
        <w:rPr>
          <w:rFonts w:ascii="Calibri" w:eastAsia="Calibri" w:hAnsi="Calibri"/>
          <w:b w:val="0"/>
          <w:noProof/>
          <w:color w:val="44546A" w:themeColor="text2"/>
          <w:szCs w:val="24"/>
        </w:rPr>
        <w:t xml:space="preserve">ZBIORNIKI WYKONANE Z PŁYT POLIPROPYLENOWYCH 10MM Z OPSAKAMI STALOWYMI (STAL MALOWANA ZABEZPIECZONA ANTYKOROZYJNIE) PRZEZNACZONE SĄ DO MAGAZYNOWNIA WODY BASENOWEJ W CIĄGU INSTALACJI TECHNOLOGICZNEJ. </w:t>
      </w:r>
    </w:p>
    <w:p w:rsidR="00625C47" w:rsidRDefault="00625C47" w:rsidP="00625C47">
      <w:pPr>
        <w:spacing w:after="200" w:line="276" w:lineRule="auto"/>
        <w:jc w:val="both"/>
        <w:rPr>
          <w:rFonts w:ascii="Calibri" w:eastAsia="Calibri" w:hAnsi="Calibri"/>
          <w:b w:val="0"/>
          <w:noProof/>
          <w:color w:val="44546A" w:themeColor="text2"/>
          <w:szCs w:val="24"/>
        </w:rPr>
      </w:pPr>
      <w:r w:rsidRPr="00CA10C1">
        <w:rPr>
          <w:rFonts w:ascii="Calibri" w:eastAsia="Calibri" w:hAnsi="Calibri"/>
          <w:b w:val="0"/>
          <w:noProof/>
          <w:color w:val="44546A" w:themeColor="text2"/>
          <w:szCs w:val="24"/>
        </w:rPr>
        <w:t>ZBIORNIKI NALEŻY POSADOWIĆ NA POWIERZCHNI PŁASKIEJ NP.  WYPOZIOMOWANA WYLEWKA BETONOWA.</w:t>
      </w:r>
    </w:p>
    <w:p w:rsidR="00625C47" w:rsidRDefault="00625C47" w:rsidP="00625C47">
      <w:pPr>
        <w:spacing w:after="200" w:line="276" w:lineRule="auto"/>
        <w:jc w:val="both"/>
        <w:rPr>
          <w:rFonts w:ascii="Calibri" w:eastAsia="Calibri" w:hAnsi="Calibri"/>
          <w:b w:val="0"/>
          <w:noProof/>
          <w:color w:val="44546A" w:themeColor="text2"/>
          <w:szCs w:val="24"/>
        </w:rPr>
      </w:pPr>
      <w:r w:rsidRPr="0008183A">
        <w:rPr>
          <w:rFonts w:ascii="Calibri" w:eastAsia="Calibri" w:hAnsi="Calibri"/>
          <w:b w:val="0"/>
          <w:noProof/>
          <w:color w:val="44546A" w:themeColor="text2"/>
          <w:szCs w:val="24"/>
        </w:rPr>
        <w:t>ZBIORNIKI SĄ WYDANE JAKO  PRZEKRYTE CZYLI 6 ŚCIAN ZGODNIE Z PROJEKTEM-OPIS, ZESTAWIANIA</w:t>
      </w:r>
    </w:p>
    <w:p w:rsidR="00625C47" w:rsidRPr="0008183A" w:rsidRDefault="00625C47" w:rsidP="00625C47">
      <w:pPr>
        <w:spacing w:after="200" w:line="276" w:lineRule="auto"/>
        <w:jc w:val="both"/>
        <w:rPr>
          <w:rFonts w:ascii="Calibri" w:eastAsia="Calibri" w:hAnsi="Calibri"/>
          <w:b w:val="0"/>
          <w:noProof/>
          <w:color w:val="44546A" w:themeColor="text2"/>
          <w:szCs w:val="24"/>
        </w:rPr>
      </w:pPr>
      <w:r w:rsidRPr="0008183A">
        <w:rPr>
          <w:rFonts w:ascii="Calibri" w:eastAsia="Calibri" w:hAnsi="Calibri"/>
          <w:b w:val="0"/>
          <w:noProof/>
          <w:color w:val="44546A" w:themeColor="text2"/>
          <w:szCs w:val="24"/>
        </w:rPr>
        <w:t>DODATKOWO ZBIORNIK POPŁUCZYN MUSI BYĆ BEZWZGLĘDNIE 100% SZCZELNY</w:t>
      </w:r>
      <w:r>
        <w:rPr>
          <w:rFonts w:ascii="Calibri" w:eastAsia="Calibri" w:hAnsi="Calibri"/>
          <w:b w:val="0"/>
          <w:noProof/>
          <w:color w:val="44546A" w:themeColor="text2"/>
          <w:szCs w:val="24"/>
        </w:rPr>
        <w:t>, BO ZBIERA Ś</w:t>
      </w:r>
      <w:r w:rsidRPr="0008183A">
        <w:rPr>
          <w:rFonts w:ascii="Calibri" w:eastAsia="Calibri" w:hAnsi="Calibri"/>
          <w:b w:val="0"/>
          <w:noProof/>
          <w:color w:val="44546A" w:themeColor="text2"/>
          <w:szCs w:val="24"/>
        </w:rPr>
        <w:t>CIEKI Z ODPOWIETRZENIEM DO KANALIZACJI (WENTYLACJI NA ZEWNĄTRZ)</w:t>
      </w:r>
    </w:p>
    <w:p w:rsidR="00625C47" w:rsidRDefault="00625C47" w:rsidP="00625C47">
      <w:pPr>
        <w:spacing w:after="200" w:line="276" w:lineRule="auto"/>
        <w:jc w:val="both"/>
        <w:rPr>
          <w:rFonts w:ascii="Calibri" w:eastAsia="Calibri" w:hAnsi="Calibri"/>
          <w:b w:val="0"/>
          <w:noProof/>
          <w:color w:val="44546A" w:themeColor="text2"/>
          <w:szCs w:val="24"/>
        </w:rPr>
      </w:pPr>
      <w:r w:rsidRPr="0008183A">
        <w:rPr>
          <w:rFonts w:ascii="Calibri" w:eastAsia="Calibri" w:hAnsi="Calibri"/>
          <w:b w:val="0"/>
          <w:noProof/>
          <w:color w:val="44546A" w:themeColor="text2"/>
          <w:szCs w:val="24"/>
        </w:rPr>
        <w:t>ZBIORNIK</w:t>
      </w:r>
      <w:r>
        <w:rPr>
          <w:rFonts w:ascii="Calibri" w:eastAsia="Calibri" w:hAnsi="Calibri"/>
          <w:b w:val="0"/>
          <w:noProof/>
          <w:color w:val="44546A" w:themeColor="text2"/>
          <w:szCs w:val="24"/>
        </w:rPr>
        <w:t>I</w:t>
      </w:r>
      <w:r w:rsidRPr="0008183A">
        <w:rPr>
          <w:rFonts w:ascii="Calibri" w:eastAsia="Calibri" w:hAnsi="Calibri"/>
          <w:b w:val="0"/>
          <w:noProof/>
          <w:color w:val="44546A" w:themeColor="text2"/>
          <w:szCs w:val="24"/>
        </w:rPr>
        <w:t xml:space="preserve"> DUŻE TAK JAK PODANY PONIŻEJ POPŁUCZYN SA ZWYKLE ŻEBROWANE GĘŚCIEJ NP. CO 0,5M</w:t>
      </w:r>
    </w:p>
    <w:p w:rsidR="00625C47" w:rsidRDefault="00625C47" w:rsidP="00625C47">
      <w:pPr>
        <w:spacing w:after="200" w:line="276" w:lineRule="auto"/>
        <w:jc w:val="both"/>
        <w:rPr>
          <w:rFonts w:ascii="Calibri" w:eastAsia="Calibri" w:hAnsi="Calibri"/>
          <w:b w:val="0"/>
          <w:noProof/>
          <w:color w:val="44546A" w:themeColor="text2"/>
          <w:szCs w:val="24"/>
        </w:rPr>
      </w:pPr>
      <w:r>
        <w:rPr>
          <w:rFonts w:ascii="Calibri" w:eastAsia="Calibri" w:hAnsi="Calibri"/>
          <w:b w:val="0"/>
          <w:noProof/>
          <w:color w:val="44546A" w:themeColor="text2"/>
          <w:szCs w:val="24"/>
        </w:rPr>
        <w:lastRenderedPageBreak/>
        <w:t>NIE BYŁ PROJEKTOWANY ZBIORNIK WÓD POPŁUCZNYCH.</w:t>
      </w:r>
    </w:p>
    <w:p w:rsidR="00563F85" w:rsidRDefault="00563F85" w:rsidP="00625C47">
      <w:pPr>
        <w:spacing w:after="200" w:line="276" w:lineRule="auto"/>
        <w:jc w:val="both"/>
        <w:rPr>
          <w:rFonts w:ascii="Calibri" w:eastAsia="Calibri" w:hAnsi="Calibri"/>
          <w:b w:val="0"/>
          <w:noProof/>
          <w:color w:val="44546A" w:themeColor="text2"/>
          <w:szCs w:val="24"/>
        </w:rPr>
      </w:pPr>
      <w:r w:rsidRPr="00563F85">
        <w:rPr>
          <w:rFonts w:ascii="Calibri" w:eastAsia="Calibri" w:hAnsi="Calibri"/>
          <w:noProof/>
          <w:szCs w:val="24"/>
        </w:rPr>
        <w:t>Ad. 2</w:t>
      </w:r>
      <w:r>
        <w:rPr>
          <w:rFonts w:ascii="Calibri" w:eastAsia="Calibri" w:hAnsi="Calibri"/>
          <w:noProof/>
          <w:szCs w:val="24"/>
        </w:rPr>
        <w:t xml:space="preserve"> </w:t>
      </w:r>
      <w:r>
        <w:t xml:space="preserve">W części opisowej instalacji </w:t>
      </w:r>
      <w:proofErr w:type="spellStart"/>
      <w:r>
        <w:t>wod-kan</w:t>
      </w:r>
      <w:proofErr w:type="spellEnd"/>
      <w:r>
        <w:t xml:space="preserve"> oraz instalacji grzewczych są opisane elementy przeznaczone do </w:t>
      </w:r>
      <w:proofErr w:type="spellStart"/>
      <w:r>
        <w:t>demontażu.W</w:t>
      </w:r>
      <w:proofErr w:type="spellEnd"/>
      <w:r>
        <w:t xml:space="preserve"> części rysunkowej instalacji </w:t>
      </w:r>
      <w:proofErr w:type="spellStart"/>
      <w:r>
        <w:t>wod-kan</w:t>
      </w:r>
      <w:proofErr w:type="spellEnd"/>
      <w:r>
        <w:t xml:space="preserve"> naniesione są istniejące instalacje z zaznaczonymi miejscami wpięcia instalacji </w:t>
      </w:r>
      <w:proofErr w:type="spellStart"/>
      <w:r>
        <w:t>projektowanych.W</w:t>
      </w:r>
      <w:proofErr w:type="spellEnd"/>
      <w:r>
        <w:t xml:space="preserve"> części rysunkowej wentylacji mechanicznej naniesione są istniejące kanały wentylacyjne przeznaczone do </w:t>
      </w:r>
      <w:proofErr w:type="spellStart"/>
      <w:r>
        <w:t>wykorzystania.W</w:t>
      </w:r>
      <w:proofErr w:type="spellEnd"/>
      <w:r>
        <w:t xml:space="preserve"> przedmiarach robót wyszczególnione są wszystkie roboty demontażowe</w:t>
      </w:r>
    </w:p>
    <w:p w:rsidR="00625C47" w:rsidRPr="003B0325" w:rsidRDefault="00542E32" w:rsidP="00625C47">
      <w:pPr>
        <w:spacing w:line="360" w:lineRule="auto"/>
        <w:jc w:val="both"/>
      </w:pPr>
      <w:r>
        <w:rPr>
          <w:rFonts w:ascii="Calibri" w:eastAsia="Calibri" w:hAnsi="Calibri"/>
          <w:noProof/>
          <w:szCs w:val="24"/>
        </w:rPr>
        <w:t xml:space="preserve">Ad. </w:t>
      </w:r>
      <w:r w:rsidR="00625C47" w:rsidRPr="00625C47">
        <w:rPr>
          <w:rFonts w:ascii="Calibri" w:eastAsia="Calibri" w:hAnsi="Calibri"/>
          <w:noProof/>
          <w:szCs w:val="24"/>
        </w:rPr>
        <w:t>3</w:t>
      </w:r>
      <w:r w:rsidR="00625C47" w:rsidRPr="00625C47">
        <w:rPr>
          <w:rFonts w:ascii="Calibri" w:eastAsia="Calibri" w:hAnsi="Calibri"/>
          <w:b w:val="0"/>
          <w:noProof/>
          <w:szCs w:val="24"/>
        </w:rPr>
        <w:t xml:space="preserve"> </w:t>
      </w:r>
      <w:r w:rsidR="003B0325" w:rsidRPr="003B0325">
        <w:t xml:space="preserve">Projektant nie przygotował specyfikacji materiałowej, zatem wykonawca musi </w:t>
      </w:r>
      <w:proofErr w:type="spellStart"/>
      <w:r w:rsidR="003B0325">
        <w:t>wziąść</w:t>
      </w:r>
      <w:proofErr w:type="spellEnd"/>
      <w:r w:rsidR="003B0325">
        <w:t xml:space="preserve"> pod uwagę</w:t>
      </w:r>
      <w:r w:rsidR="003B0325" w:rsidRPr="003B0325">
        <w:t xml:space="preserve">  dostępn</w:t>
      </w:r>
      <w:r w:rsidR="003B0325">
        <w:t>ą</w:t>
      </w:r>
      <w:r w:rsidR="003B0325" w:rsidRPr="003B0325">
        <w:t xml:space="preserve"> dokumentac</w:t>
      </w:r>
      <w:r w:rsidR="003B0325">
        <w:t>ję</w:t>
      </w:r>
      <w:r w:rsidR="003B0325" w:rsidRPr="003B0325">
        <w:t xml:space="preserve"> projektow</w:t>
      </w:r>
      <w:r w:rsidR="003B0325">
        <w:t>ą</w:t>
      </w:r>
      <w:r w:rsidR="003B0325" w:rsidRPr="003B0325">
        <w:t xml:space="preserve"> w wersji elektronicznej</w:t>
      </w:r>
      <w:r>
        <w:t>.</w:t>
      </w:r>
      <w:bookmarkStart w:id="0" w:name="_GoBack"/>
      <w:bookmarkEnd w:id="0"/>
    </w:p>
    <w:p w:rsidR="00625C47" w:rsidRPr="004D7D10" w:rsidRDefault="00625C47" w:rsidP="00625C47">
      <w:pPr>
        <w:contextualSpacing/>
        <w:jc w:val="both"/>
        <w:rPr>
          <w:b w:val="0"/>
          <w:color w:val="44546A" w:themeColor="text2"/>
        </w:rPr>
      </w:pPr>
      <w:r w:rsidRPr="00625C47">
        <w:t>Ad. 4</w:t>
      </w:r>
      <w:r w:rsidRPr="00625C47">
        <w:rPr>
          <w:b w:val="0"/>
        </w:rPr>
        <w:t xml:space="preserve"> </w:t>
      </w:r>
      <w:r w:rsidRPr="004D7D10">
        <w:rPr>
          <w:b w:val="0"/>
          <w:color w:val="44546A" w:themeColor="text2"/>
        </w:rPr>
        <w:t>TABELA DOŁĄCZONA DO DOKUMETACJI PROJEKTOWEJ</w:t>
      </w:r>
    </w:p>
    <w:p w:rsidR="007E6B08" w:rsidRDefault="007E6B08" w:rsidP="007E6B08">
      <w:pPr>
        <w:contextualSpacing/>
      </w:pPr>
      <w:r w:rsidRPr="007E6B08">
        <w:t xml:space="preserve">Ad. 5. </w:t>
      </w:r>
      <w:r>
        <w:t>Przedmiary oraz zamieszczone zestawienia robocizny, materiałów, czy sprzętu są podane pomocniczo do przygotowania oferty, bowiem przy rozliczeniu ryczałtowym zamawiający nie ma takiego obowiązku. Natomiast w interesie wykonawcy</w:t>
      </w:r>
      <w:r w:rsidR="00D7370A">
        <w:t xml:space="preserve"> jest w złożonej ofercie uwzględnić wszystkie koszty związane z wykonaniem przedmiotu zamówienia</w:t>
      </w:r>
      <w:r w:rsidR="00671B9C">
        <w:t xml:space="preserve"> - </w:t>
      </w:r>
      <w:r w:rsidR="00D7370A">
        <w:t>zgodnie z dokumentacją projektową.</w:t>
      </w:r>
    </w:p>
    <w:p w:rsidR="00671B9C" w:rsidRDefault="00671B9C" w:rsidP="007E6B08">
      <w:pPr>
        <w:contextualSpacing/>
      </w:pPr>
      <w:r>
        <w:t>Ad. 6-10;12-16 Z uwagi na to j/w zamawiający nie widzi konieczności dokonywania zmian w przedmiarach.</w:t>
      </w:r>
    </w:p>
    <w:p w:rsidR="00625C47" w:rsidRDefault="00625C47" w:rsidP="00625C47">
      <w:pPr>
        <w:contextualSpacing/>
        <w:jc w:val="both"/>
        <w:rPr>
          <w:b w:val="0"/>
          <w:color w:val="44546A" w:themeColor="text2"/>
        </w:rPr>
      </w:pPr>
      <w:r>
        <w:t xml:space="preserve">Ad. 11 </w:t>
      </w:r>
      <w:r w:rsidRPr="005722AE">
        <w:rPr>
          <w:b w:val="0"/>
          <w:color w:val="44546A" w:themeColor="text2"/>
        </w:rPr>
        <w:t>DOBÓR FUG PODANY W TABELCE WYKOŃCZENIA WNĘTRZ, W</w:t>
      </w:r>
      <w:r>
        <w:rPr>
          <w:color w:val="FF0000"/>
        </w:rPr>
        <w:t xml:space="preserve"> </w:t>
      </w:r>
      <w:r w:rsidRPr="005722AE">
        <w:rPr>
          <w:b w:val="0"/>
          <w:color w:val="44546A" w:themeColor="text2"/>
        </w:rPr>
        <w:t>OPISIE PODANY SPOSÓB WYKONANIA HYDROIZOLACJI</w:t>
      </w:r>
    </w:p>
    <w:p w:rsidR="00671B9C" w:rsidRDefault="00671B9C" w:rsidP="007E6B08">
      <w:pPr>
        <w:contextualSpacing/>
      </w:pPr>
      <w:r>
        <w:t>Ad. 17 Podtrzymujemy odpowiedź – patrz Ad. 12 cz.1</w:t>
      </w:r>
    </w:p>
    <w:p w:rsidR="00671B9C" w:rsidRDefault="00671B9C" w:rsidP="007E6B08">
      <w:pPr>
        <w:contextualSpacing/>
      </w:pPr>
      <w:r>
        <w:t xml:space="preserve">Ad. 18 </w:t>
      </w:r>
      <w:r w:rsidR="00890734">
        <w:t>Zmieniono  termin</w:t>
      </w:r>
      <w:r>
        <w:t xml:space="preserve"> składania ofert.</w:t>
      </w:r>
    </w:p>
    <w:p w:rsidR="00583B15" w:rsidRDefault="00583B15" w:rsidP="007E6B08">
      <w:pPr>
        <w:contextualSpacing/>
        <w:rPr>
          <w:b w:val="0"/>
          <w:color w:val="44546A" w:themeColor="text2"/>
        </w:rPr>
      </w:pPr>
      <w:r>
        <w:t xml:space="preserve">Ad. 19 </w:t>
      </w:r>
      <w:r w:rsidRPr="004D7D10">
        <w:rPr>
          <w:b w:val="0"/>
          <w:color w:val="44546A" w:themeColor="text2"/>
        </w:rPr>
        <w:t>ZAKRES OPRACOWANIA NIE OBEJMUJE WĘZŁA CIEPLENGO</w:t>
      </w:r>
    </w:p>
    <w:p w:rsidR="00563F85" w:rsidRPr="00563F85" w:rsidRDefault="00563F85" w:rsidP="00563F85">
      <w:pPr>
        <w:contextualSpacing/>
      </w:pPr>
      <w:r>
        <w:t xml:space="preserve">Modernizacja w </w:t>
      </w:r>
      <w:proofErr w:type="spellStart"/>
      <w:r>
        <w:t>wężle</w:t>
      </w:r>
      <w:proofErr w:type="spellEnd"/>
      <w:r>
        <w:t xml:space="preserve"> cieplnym jest poza zakresem </w:t>
      </w:r>
      <w:proofErr w:type="spellStart"/>
      <w:r>
        <w:t>opracowania,projekt</w:t>
      </w:r>
      <w:proofErr w:type="spellEnd"/>
      <w:r>
        <w:t xml:space="preserve"> oraz wykonanie zmodernizowanego węzła leży po stronie Przedsiębiorstwa Energetyki Cieplnej. Zakres objęty opracowaniem obejmuje instalacje w </w:t>
      </w:r>
      <w:proofErr w:type="spellStart"/>
      <w:r>
        <w:t>wężle</w:t>
      </w:r>
      <w:proofErr w:type="spellEnd"/>
      <w:r>
        <w:t xml:space="preserve"> </w:t>
      </w:r>
      <w:proofErr w:type="spellStart"/>
      <w:r>
        <w:t>cieplym</w:t>
      </w:r>
      <w:proofErr w:type="spellEnd"/>
      <w:r>
        <w:t xml:space="preserve"> od </w:t>
      </w:r>
      <w:proofErr w:type="spellStart"/>
      <w:r>
        <w:t>rozdzielaczy,co</w:t>
      </w:r>
      <w:proofErr w:type="spellEnd"/>
      <w:r>
        <w:t xml:space="preserve"> pokazano w części rysunkowej oraz ujęto w przedmiarze robót.</w:t>
      </w:r>
    </w:p>
    <w:p w:rsidR="00563F85" w:rsidRDefault="00563F85" w:rsidP="007E6B08">
      <w:pPr>
        <w:contextualSpacing/>
        <w:rPr>
          <w:b w:val="0"/>
          <w:color w:val="44546A" w:themeColor="text2"/>
        </w:rPr>
      </w:pPr>
    </w:p>
    <w:p w:rsidR="00583B15" w:rsidRPr="00782D28" w:rsidRDefault="00583B15" w:rsidP="00583B15">
      <w:pPr>
        <w:spacing w:after="240"/>
        <w:rPr>
          <w:b w:val="0"/>
          <w:color w:val="44546A" w:themeColor="text2"/>
        </w:rPr>
      </w:pPr>
      <w:r w:rsidRPr="00583B15">
        <w:t>Ad. 20</w:t>
      </w:r>
      <w:r w:rsidRPr="00583B15">
        <w:rPr>
          <w:b w:val="0"/>
        </w:rPr>
        <w:t xml:space="preserve"> </w:t>
      </w:r>
      <w:r w:rsidRPr="00782D28">
        <w:rPr>
          <w:b w:val="0"/>
          <w:color w:val="44546A" w:themeColor="text2"/>
        </w:rPr>
        <w:t>WYMIENNIKI SĄ WYDANE W PROJEKCIE TECHNOLOGICZNYM , OPIS, ZESTAWIENIE MATERIAŁÓW, PRZEDMIARY ROBÓT, KOSZTORYSACH</w:t>
      </w:r>
    </w:p>
    <w:p w:rsidR="00583B15" w:rsidRDefault="00583B15" w:rsidP="00583B15">
      <w:pPr>
        <w:spacing w:after="240"/>
        <w:rPr>
          <w:b w:val="0"/>
          <w:color w:val="44546A" w:themeColor="text2"/>
        </w:rPr>
      </w:pPr>
      <w:r w:rsidRPr="00782D28">
        <w:rPr>
          <w:b w:val="0"/>
          <w:color w:val="44546A" w:themeColor="text2"/>
        </w:rPr>
        <w:t>I SĄ TY B1000 (BASEN PŁYWACKI), B500 (BASEN REKREACYJNY), I WYMIENNIK APV U2   TYTANOWY (65 PŁYT) WYMIAR 280MM/130MM/190MM (WANNY SOLANKOWEJ)</w:t>
      </w:r>
    </w:p>
    <w:p w:rsidR="00563F85" w:rsidRPr="00D55046" w:rsidRDefault="00563F85" w:rsidP="00D55046">
      <w:pPr>
        <w:contextualSpacing/>
      </w:pPr>
      <w:r>
        <w:t xml:space="preserve">W projekcie instalacji grzewczych zostały policzone wielkości wymienników </w:t>
      </w:r>
      <w:proofErr w:type="spellStart"/>
      <w:r>
        <w:t>basenowych,które</w:t>
      </w:r>
      <w:proofErr w:type="spellEnd"/>
      <w:r>
        <w:t xml:space="preserve"> zostały ujęte w zakresie robót technologa wody basenowej.</w:t>
      </w:r>
    </w:p>
    <w:p w:rsidR="00563F85" w:rsidRDefault="00563F85" w:rsidP="00583B15">
      <w:pPr>
        <w:spacing w:after="240"/>
        <w:rPr>
          <w:b w:val="0"/>
          <w:color w:val="44546A" w:themeColor="text2"/>
        </w:rPr>
      </w:pPr>
    </w:p>
    <w:p w:rsidR="00583B15" w:rsidRDefault="00583B15" w:rsidP="00583B15">
      <w:pPr>
        <w:spacing w:after="160" w:line="259" w:lineRule="auto"/>
        <w:contextualSpacing/>
        <w:rPr>
          <w:b w:val="0"/>
          <w:color w:val="44546A" w:themeColor="text2"/>
        </w:rPr>
      </w:pPr>
      <w:r w:rsidRPr="00583B15">
        <w:t>Ad.21</w:t>
      </w:r>
      <w:r w:rsidRPr="00583B15">
        <w:rPr>
          <w:b w:val="0"/>
        </w:rPr>
        <w:t xml:space="preserve"> </w:t>
      </w:r>
      <w:r w:rsidRPr="00CA10C1">
        <w:rPr>
          <w:b w:val="0"/>
          <w:color w:val="44546A" w:themeColor="text2"/>
        </w:rPr>
        <w:t>TABELA DOŁĄCZONA DO DOKUMENTACJI PROJEKTOWEJ</w:t>
      </w:r>
    </w:p>
    <w:p w:rsidR="00583B15" w:rsidRPr="005722AE" w:rsidRDefault="00583B15" w:rsidP="00583B15">
      <w:pPr>
        <w:spacing w:after="160" w:line="259" w:lineRule="auto"/>
        <w:contextualSpacing/>
        <w:rPr>
          <w:b w:val="0"/>
          <w:color w:val="44546A" w:themeColor="text2"/>
        </w:rPr>
      </w:pPr>
      <w:r w:rsidRPr="00583B15">
        <w:t>Ad.22</w:t>
      </w:r>
      <w:r w:rsidRPr="00583B15">
        <w:rPr>
          <w:b w:val="0"/>
        </w:rPr>
        <w:t xml:space="preserve"> </w:t>
      </w:r>
      <w:r w:rsidRPr="005722AE">
        <w:rPr>
          <w:b w:val="0"/>
          <w:color w:val="44546A" w:themeColor="text2"/>
        </w:rPr>
        <w:t>TAK, DO OFERTY NALEŻY WLICZYĆ POMIESZCZENIA 0/1- 0/29</w:t>
      </w:r>
      <w:r>
        <w:rPr>
          <w:b w:val="0"/>
          <w:color w:val="44546A" w:themeColor="text2"/>
        </w:rPr>
        <w:t xml:space="preserve"> (RYS. NR 14A)</w:t>
      </w:r>
    </w:p>
    <w:p w:rsidR="00F56205" w:rsidRPr="007E6B08" w:rsidRDefault="007026FA" w:rsidP="007E6B08">
      <w:pPr>
        <w:contextualSpacing/>
      </w:pPr>
      <w:r>
        <w:t>Ad. 23 Tak, obejmuje.</w:t>
      </w:r>
    </w:p>
    <w:p w:rsidR="007E6B08" w:rsidRDefault="007E6B08" w:rsidP="007E6B08">
      <w:pPr>
        <w:contextualSpacing/>
        <w:jc w:val="center"/>
      </w:pPr>
    </w:p>
    <w:p w:rsidR="007E6B08" w:rsidRDefault="007E6B08" w:rsidP="007E6B08">
      <w:pPr>
        <w:contextualSpacing/>
      </w:pPr>
    </w:p>
    <w:p w:rsidR="00194198" w:rsidRPr="00470595" w:rsidRDefault="00194198" w:rsidP="00194198">
      <w:pPr>
        <w:spacing w:line="360" w:lineRule="auto"/>
        <w:jc w:val="both"/>
        <w:rPr>
          <w:b w:val="0"/>
        </w:rPr>
      </w:pPr>
    </w:p>
    <w:p w:rsidR="00470595" w:rsidRDefault="00470595" w:rsidP="00470595">
      <w:pPr>
        <w:pStyle w:val="Akapitzlist"/>
        <w:ind w:left="502"/>
      </w:pPr>
    </w:p>
    <w:p w:rsidR="00470595" w:rsidRDefault="00470595" w:rsidP="00470595">
      <w:pPr>
        <w:spacing w:line="360" w:lineRule="auto"/>
        <w:rPr>
          <w:b w:val="0"/>
        </w:rPr>
      </w:pPr>
    </w:p>
    <w:p w:rsidR="00CD3F27" w:rsidRDefault="00CD3F27"/>
    <w:sectPr w:rsidR="00CD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C11D2"/>
    <w:multiLevelType w:val="hybridMultilevel"/>
    <w:tmpl w:val="552496E8"/>
    <w:lvl w:ilvl="0" w:tplc="D848E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F6CF2"/>
    <w:multiLevelType w:val="hybridMultilevel"/>
    <w:tmpl w:val="36CCA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4397E"/>
    <w:multiLevelType w:val="hybridMultilevel"/>
    <w:tmpl w:val="0FBAB542"/>
    <w:lvl w:ilvl="0" w:tplc="BF2C7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05"/>
    <w:rsid w:val="00194198"/>
    <w:rsid w:val="001A4FCD"/>
    <w:rsid w:val="003B0325"/>
    <w:rsid w:val="003B12CF"/>
    <w:rsid w:val="00470595"/>
    <w:rsid w:val="00542E32"/>
    <w:rsid w:val="00563F85"/>
    <w:rsid w:val="00583B15"/>
    <w:rsid w:val="00625C47"/>
    <w:rsid w:val="00671B9C"/>
    <w:rsid w:val="007026FA"/>
    <w:rsid w:val="007E6B08"/>
    <w:rsid w:val="00890734"/>
    <w:rsid w:val="008E5E21"/>
    <w:rsid w:val="00913BAA"/>
    <w:rsid w:val="00BB235B"/>
    <w:rsid w:val="00CC6516"/>
    <w:rsid w:val="00CD3F27"/>
    <w:rsid w:val="00D55046"/>
    <w:rsid w:val="00D7370A"/>
    <w:rsid w:val="00DF4505"/>
    <w:rsid w:val="00E56478"/>
    <w:rsid w:val="00F56205"/>
    <w:rsid w:val="00F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925CD-1D21-45B9-AE36-04954F73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50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595"/>
    <w:pPr>
      <w:ind w:left="720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4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478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3F85"/>
    <w:rPr>
      <w:rFonts w:ascii="Calibri" w:eastAsiaTheme="minorHAnsi" w:hAnsi="Calibri" w:cstheme="minorBidi"/>
      <w:b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3F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M.Gora</dc:creator>
  <cp:keywords/>
  <dc:description/>
  <cp:lastModifiedBy>M.Gora</cp:lastModifiedBy>
  <cp:revision>15</cp:revision>
  <cp:lastPrinted>2016-01-18T13:28:00Z</cp:lastPrinted>
  <dcterms:created xsi:type="dcterms:W3CDTF">2016-01-18T12:16:00Z</dcterms:created>
  <dcterms:modified xsi:type="dcterms:W3CDTF">2016-01-26T11:00:00Z</dcterms:modified>
</cp:coreProperties>
</file>